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3DC" w:rsidRDefault="003F43DC">
      <w:bookmarkStart w:id="0" w:name="_GoBack"/>
      <w:bookmarkEnd w:id="0"/>
    </w:p>
    <w:p w:rsidR="003F43DC" w:rsidRDefault="003F43DC"/>
    <w:p w:rsidR="003F43DC" w:rsidRDefault="005A0EA0">
      <w:pPr>
        <w:keepNext/>
        <w:keepLines/>
        <w:spacing w:line="216" w:lineRule="auto"/>
        <w:jc w:val="center"/>
        <w:rPr>
          <w:rFonts w:ascii="Titillium Web" w:eastAsia="Titillium Web" w:hAnsi="Titillium Web" w:cs="Titillium Web"/>
          <w:b/>
          <w:color w:val="17365D"/>
          <w:sz w:val="36"/>
          <w:szCs w:val="36"/>
        </w:rPr>
      </w:pPr>
      <w:r>
        <w:rPr>
          <w:rFonts w:ascii="Titillium Web" w:eastAsia="Titillium Web" w:hAnsi="Titillium Web" w:cs="Titillium Web"/>
          <w:b/>
          <w:color w:val="17365D"/>
          <w:sz w:val="36"/>
          <w:szCs w:val="36"/>
        </w:rPr>
        <w:t>Legenda</w:t>
      </w:r>
    </w:p>
    <w:p w:rsidR="003F43DC" w:rsidRDefault="005A0EA0">
      <w:pPr>
        <w:keepNext/>
        <w:keepLines/>
        <w:spacing w:line="216" w:lineRule="auto"/>
        <w:jc w:val="center"/>
        <w:rPr>
          <w:rFonts w:ascii="Titillium Web" w:eastAsia="Titillium Web" w:hAnsi="Titillium Web" w:cs="Titillium Web"/>
          <w:b/>
          <w:color w:val="17365D"/>
        </w:rPr>
      </w:pPr>
      <w:r>
        <w:rPr>
          <w:rFonts w:ascii="Titillium Web" w:eastAsia="Titillium Web" w:hAnsi="Titillium Web" w:cs="Titillium Web"/>
          <w:b/>
          <w:color w:val="17365D"/>
          <w:sz w:val="36"/>
          <w:szCs w:val="36"/>
        </w:rPr>
        <w:t>del Bilancio iniziale delle competenze</w:t>
      </w:r>
    </w:p>
    <w:p w:rsidR="003F43DC" w:rsidRDefault="005A0EA0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i/>
          <w:color w:val="17365D"/>
          <w:sz w:val="26"/>
          <w:szCs w:val="26"/>
        </w:rPr>
      </w:pPr>
      <w:r>
        <w:rPr>
          <w:rFonts w:ascii="Titillium Web" w:eastAsia="Titillium Web" w:hAnsi="Titillium Web" w:cs="Titillium Web"/>
          <w:b/>
          <w:i/>
          <w:color w:val="17365D"/>
          <w:sz w:val="26"/>
          <w:szCs w:val="26"/>
        </w:rPr>
        <w:t>Spiegazione dettagliata degli indicatori di competenza</w:t>
      </w:r>
    </w:p>
    <w:p w:rsidR="003F43DC" w:rsidRDefault="003F43DC">
      <w:pPr>
        <w:spacing w:after="160" w:line="259" w:lineRule="auto"/>
        <w:rPr>
          <w:rFonts w:ascii="Arial" w:eastAsia="Arial" w:hAnsi="Arial" w:cs="Arial"/>
          <w:sz w:val="28"/>
          <w:szCs w:val="28"/>
        </w:rPr>
      </w:pPr>
    </w:p>
    <w:p w:rsidR="003F43DC" w:rsidRDefault="003F43DC">
      <w:pPr>
        <w:spacing w:after="160" w:line="259" w:lineRule="auto"/>
        <w:rPr>
          <w:rFonts w:ascii="Arial" w:eastAsia="Arial" w:hAnsi="Arial" w:cs="Arial"/>
          <w:sz w:val="20"/>
          <w:szCs w:val="20"/>
        </w:rPr>
      </w:pPr>
    </w:p>
    <w:p w:rsidR="003F43DC" w:rsidRDefault="005A0EA0">
      <w:pPr>
        <w:spacing w:line="216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sz w:val="20"/>
          <w:szCs w:val="20"/>
        </w:rPr>
        <w:t xml:space="preserve">Il presente documento, allegato al </w:t>
      </w:r>
      <w:r>
        <w:rPr>
          <w:rFonts w:ascii="Titillium Web" w:eastAsia="Titillium Web" w:hAnsi="Titillium Web" w:cs="Titillium Web"/>
          <w:i/>
          <w:sz w:val="20"/>
          <w:szCs w:val="20"/>
        </w:rPr>
        <w:t>Bilancio iniziale delle competenze</w:t>
      </w:r>
      <w:r>
        <w:rPr>
          <w:rFonts w:ascii="Titillium Web" w:eastAsia="Titillium Web" w:hAnsi="Titillium Web" w:cs="Titillium Web"/>
          <w:sz w:val="20"/>
          <w:szCs w:val="20"/>
        </w:rPr>
        <w:t>, ha la funzione di aiutare il/la docente nella comprensione degli indicatori di competenza, fornendone una spiegazione più dettagliata così da poterlo/a guidare nel momento in cui, di volta in volta, individua e posiziona il proprio livello di competenza.</w:t>
      </w:r>
    </w:p>
    <w:p w:rsidR="003F43DC" w:rsidRDefault="005A0EA0">
      <w:pPr>
        <w:tabs>
          <w:tab w:val="left" w:pos="3400"/>
        </w:tabs>
        <w:spacing w:after="160" w:line="259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</w:p>
    <w:tbl>
      <w:tblPr>
        <w:tblStyle w:val="a"/>
        <w:tblW w:w="9781" w:type="dxa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284"/>
        <w:gridCol w:w="6497"/>
      </w:tblGrid>
      <w:tr w:rsidR="003F43DC">
        <w:tc>
          <w:tcPr>
            <w:tcW w:w="9781" w:type="dxa"/>
            <w:gridSpan w:val="2"/>
            <w:tcBorders>
              <w:bottom w:val="single" w:sz="12" w:space="0" w:color="BFBFBF"/>
            </w:tcBorders>
            <w:shd w:val="clear" w:color="auto" w:fill="B8CCE4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b/>
                <w:color w:val="404040"/>
              </w:rPr>
            </w:pPr>
            <w:r>
              <w:rPr>
                <w:rFonts w:ascii="Titillium Web" w:eastAsia="Titillium Web" w:hAnsi="Titillium Web" w:cs="Titillium Web"/>
                <w:b/>
                <w:color w:val="404040"/>
              </w:rPr>
              <w:t>A - DIDATTICA</w:t>
            </w: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  <w:t>Area delle competenze didattiche, metodologiche e relazionali</w:t>
            </w: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DBE5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hd w:val="clear" w:color="auto" w:fill="DBE5F1"/>
              <w:tabs>
                <w:tab w:val="left" w:pos="537"/>
                <w:tab w:val="center" w:pos="4782"/>
              </w:tabs>
              <w:spacing w:line="216" w:lineRule="auto"/>
              <w:rPr>
                <w:rFonts w:ascii="Titillium Web" w:eastAsia="Titillium Web" w:hAnsi="Titillium Web" w:cs="Titillium Web"/>
                <w:b/>
                <w:color w:val="404040"/>
                <w:sz w:val="6"/>
                <w:szCs w:val="6"/>
              </w:rPr>
            </w:pPr>
            <w:r>
              <w:rPr>
                <w:rFonts w:ascii="Titillium Web" w:eastAsia="Titillium Web" w:hAnsi="Titillium Web" w:cs="Titillium Web"/>
                <w:b/>
                <w:color w:val="404040"/>
                <w:sz w:val="6"/>
                <w:szCs w:val="6"/>
              </w:rPr>
              <w:tab/>
            </w:r>
            <w:r>
              <w:rPr>
                <w:rFonts w:ascii="Titillium Web" w:eastAsia="Titillium Web" w:hAnsi="Titillium Web" w:cs="Titillium Web"/>
                <w:b/>
                <w:color w:val="404040"/>
                <w:sz w:val="6"/>
                <w:szCs w:val="6"/>
              </w:rPr>
              <w:tab/>
            </w:r>
          </w:p>
          <w:p w:rsidR="003F43DC" w:rsidRDefault="003F43DC">
            <w:pPr>
              <w:shd w:val="clear" w:color="auto" w:fill="DBE5F1"/>
              <w:tabs>
                <w:tab w:val="center" w:pos="4782"/>
              </w:tabs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hd w:val="clear" w:color="auto" w:fill="DBE5F1"/>
              <w:tabs>
                <w:tab w:val="center" w:pos="4782"/>
              </w:tabs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1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Progettare e gestire situazioni di apprendimento che promuovano le otto competenze chiave europee per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un apprendimento permanente, trasformando l’insegnamento in esperienze significative e critiche, anche attraverso l’utilizzo di strumenti digitali e didattici in presenza e a distanza, e utilizzando strumenti di lavoro per documentare, valutare e certifica</w:t>
            </w: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re le competenze personali di studenti e studentesse,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anche in prospettiva orientativa</w:t>
            </w:r>
          </w:p>
          <w:p w:rsidR="003F43DC" w:rsidRDefault="003F43DC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6"/>
                <w:szCs w:val="6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:rsidR="003F43DC" w:rsidRDefault="003F43DC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Progettare l’attività didattica correlandola alle linee guida/indicazioni nazionali e all’eventuale curricolo di Istituto, con riferimento ai campi di esperienza, agli obiettivi di apprendimento, ai traguardi di competenza ovvero ai risultati di apprendime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nto previsti dagli ordinamenti didattici vigenti (nel caso della secondaria di secondo grado, correlando gli argomenti specifici al PECUP proprio dei distinti indirizzi di studio).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Integrare nella progettazione didattica i traguardi di competenza previ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sti dalla normativa per l'Educazione civica.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Evidenziare quali traguardi di competenza per l’Educazione civica si integrano nella propria progettazione didattica.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Pianificare ed organizzare attività di orientamento formative.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Prevedere all’interno della progettazione didattica obiettivi formativi che riguardano le discipline e obiettivi formativi che riguardano il sé (competenze di auto-orientamento). Definire le azioni necessarie per pianificare attività di orientamento, utili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zzare didattica orientativa per progettare con la propria disciplina, identificare le competenze e le abilità di studenti e studentesse attraverso l’uso di strumenti e attività appropriate. Incoraggiare talenti e potenzialità di studenti e studentesse a pa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rtire dalle loro motivazioni. Facilitare studenti e studentesse nel riflettere sui propri desideri e obiettivi. Per infanzia e primaria, le attività di orientamento sono declinate in ottica “di sostegno alla fiducia, all’autostima, all’impegno, alle motiva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zioni, al riconoscimento dei talenti e delle attitudini, favorendo anche il superamento delle difficoltà presenti nel processo di apprendimento” (D.M. n. 328 del 22 dicembre 2022).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  <w:r>
              <w:rPr>
                <w:rFonts w:ascii="Titillium Web" w:eastAsia="Titillium Web" w:hAnsi="Titillium Web" w:cs="Titillium Web"/>
                <w:sz w:val="8"/>
                <w:szCs w:val="8"/>
              </w:rPr>
              <w:t xml:space="preserve">  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ivi di apprendimento raggiunti dal gruppo-classe.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Rilevare a inizio anno scolastico conoscenze e competenze acquisite da studenti e studentesse nella disciplina oggetto di studio; sulla base di ciò che emerge, progettare le attività calibrandole in relaz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ione alle differenti conoscenze e abilità riscontrate e ai diversi stili cognitivi e di apprendimento di studenti e studentesse. Valorizzare, in modalità inclusiva e sviluppando processi di personalizzazione, l’eventuale presenza di studenti e studentesse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plusdotati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/e o che abbiano già raggiunto in modo ottimale gli obiettivi di apprendimento previsti.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Attuare l’insegnamento seguendo un piano organizzato e strutturato che associ contenuti a relativi obiettivi di apprendimento.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Svolgere il progetto didat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tico in coerenza con quanto pianificato pur prevedendo, se del caso, modifiche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in itinere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qualora ritenute necessarie per il raggiungimento dei traguardi di competenze previsti.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lastRenderedPageBreak/>
              <w:t>Gestire i tempi di svolgimento di un’attività di apprendimento e il passaggi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 tra un’attività e un’altra.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Monitorare la congruità dei tempi rispetto agli obiettivi di apprendimento e alla programmazione generale; verificare che il tempo prestabilito per far raggiungere un dato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lastRenderedPageBreak/>
              <w:t>traguardo sia scandito e diversificato tenendo conto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anche delle soglie di attenzione di tutti gli studenti e tutte le studentesse. 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Durante il passaggio da un’attività all’altra o da un obiettivo all’altro, invitare studenti e studentesse a individuare nessi e connessioni tra gli argomenti delle varie atti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vità (fornendo opportune cornici di senso) al fine di comprenderne le motivazioni didattico-educative.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</w:tc>
      </w:tr>
      <w:tr w:rsidR="003F43DC">
        <w:tc>
          <w:tcPr>
            <w:tcW w:w="3284" w:type="dxa"/>
            <w:tcBorders>
              <w:top w:val="nil"/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Utilizzare mediatori didattici</w:t>
            </w:r>
            <w:r>
              <w:rPr>
                <w:rFonts w:ascii="Titillium Web" w:eastAsia="Titillium Web" w:hAnsi="Titillium Web" w:cs="Titillium Web"/>
                <w:b/>
                <w:sz w:val="17"/>
                <w:szCs w:val="17"/>
                <w:vertAlign w:val="superscript"/>
              </w:rPr>
              <w:footnoteReference w:id="1"/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, tecnologie digitali, ambienti virtuali e approcci innovativi come strumenti compensativi quali azioni/strumenti di supporto all’insegnamento e alle attività didattiche.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</w:tc>
        <w:tc>
          <w:tcPr>
            <w:tcW w:w="6497" w:type="dxa"/>
            <w:tcBorders>
              <w:top w:val="nil"/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Utilizzare mediatori didattici ed eventuali strumenti compensativi per strutturare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 contenuti, far applicare a studenti e studentesse le conoscenze disciplinari apprese e favorire/migliorare il coinvolgimento e l’apprendimento di ogni discente.</w:t>
            </w:r>
          </w:p>
        </w:tc>
      </w:tr>
      <w:tr w:rsidR="003F43DC">
        <w:tc>
          <w:tcPr>
            <w:tcW w:w="9781" w:type="dxa"/>
            <w:gridSpan w:val="2"/>
            <w:shd w:val="clear" w:color="auto" w:fill="DBE5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404040"/>
                <w:sz w:val="6"/>
                <w:szCs w:val="6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2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Adottare e adattare strategie e metodi didattici, compresi quelli personalizzati per l’inclusione di studenti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e studentesse con disabilità e bisogni educativi speciali, integrando epistemologie e metodologie disciplinari e interdisciplinari</w:t>
            </w:r>
          </w:p>
          <w:p w:rsidR="003F43DC" w:rsidRDefault="003F43DC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4"/>
                <w:szCs w:val="4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Organizzare ambienti e spazi di apprendimento finalizzati all’implementazione di strategie per l’individualizzazione e la personalizzazione dei percorsi di apprendimento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sia per far emergere i diversi talenti di studenti e studentesse sia per favorire l’inclusione di studenti e studentesse con BES, DSA o disabilità.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Organizzare ambienti e spazi di apprendimento in funzione delle attività progettate in modo tale che la loro configurazione (e la relativa disposizione degli arredi) stimoli in studenti e studentesse curiosità e senso di appartenenza, creatività e benesser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e, autonomia e socializzazione, desiderio di imparare e di sapere (tenendo conto delle peculiari esigenze dei/delle discenti con BES).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Alternare e variare i dispositivi e i materiali didattici all’interno del percorso didattico delle singole unità di ap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prendimento.</w:t>
            </w:r>
          </w:p>
          <w:p w:rsidR="003F43DC" w:rsidRDefault="003F43DC">
            <w:pPr>
              <w:ind w:firstLine="70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Possedere un repertorio ampio di materiali e di dispositivi didattici (ad es. lezione frontale, apprendimento collaborativo/cooperativo, Episodi di Apprendimento Situato, </w:t>
            </w:r>
            <w:proofErr w:type="spellStart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problem</w:t>
            </w:r>
            <w:proofErr w:type="spellEnd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 xml:space="preserve"> solving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inquiry-based</w:t>
            </w:r>
            <w:proofErr w:type="spellEnd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 xml:space="preserve"> learning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,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project-</w:t>
            </w:r>
            <w:proofErr w:type="spellStart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based</w:t>
            </w:r>
            <w:proofErr w:type="spellEnd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 xml:space="preserve"> learning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, didat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tica capovolta, ecc.) avendo cura di alternarli a seconda dei bisogni formativi di studenti e studentesse, del contesto della classe e dalla scuola così da conseguire in modo più efficace gli obiettivi di apprendimento.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Monitorare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in itinere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, revisionar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 e riprogettare le attività didattiche.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Rilevare i risultati dell’intervento didattico analizzandoli in chiave sistemica: la verifica dell’impatto dovrà tener conto, in termini di effetti complessivi, della sommatoria di più esiti: da quelli di ambito 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trettamente disciplinare a quelli relativi alle competenze sociali coinvolte, dalle esperienze multiculturali vissute ai livelli di collaborazione e di partecipazione conseguiti, ecc.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DBE5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3</w:t>
            </w: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Adottare strategie e metodi di valutazione per promuovere l’apprendimento</w:t>
            </w: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FF0000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4"/>
                <w:szCs w:val="4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Pianificare e co-progettare le prove con l’insegnante di soste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gno/insegnante curriculare e le eventuali altre figure di riferimento, in stretto raccordo con gli obiettivi previsti dai PEI congiuntamente agli obiettivi didattici, con le modalità e con gli strumenti di valutazione, rispettando e integrando le tipologie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di prove e i criteri previsti dal Collegio dei Docenti correlando le tipologie di verifica formalizzate alle attività progettate e realizzate. Includere nella valutazione sia le competenze disciplinari sia le competenze trasversali (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soft skill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) che quelle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di cittadinanza.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Diversificare attività e metodologie in base agli obiettivi di apprendimento coinvolgendo attivamente tutti gli studenti e le studentesse, esplicitando consegne e criteri di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lastRenderedPageBreak/>
              <w:t>valutazione, rispettando i tempi di restituzione delle prove e t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rasformando l'errore in occasione di apprendimento, con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focus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sulla valutazione delle competenze trasversali.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Implementare strumenti di valutazione formativa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in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itinere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per monitorare i progressi di studenti e studentesse in relazione agli obiettivi did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attici definiti in partenza.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Utilizzare tecniche di valutazione formativa non solo per dare un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feedback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a studenti e studentesse sui progressi dei loro apprendimenti, ma anche come strumento per intervenire con prontezza sul processo di insegnamento-appr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endimento apportando i cambiamenti necessari.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Variare e alternare prove di verifica di diversa tipologia.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Non fermarsi su un’unica tipologia di verifica (ad es. il “compito in classe”) ma somministrare più tipologie differenti (ad es. prove standardizzate individuali, prove a gruppi, compiti di realtà, ecc.) in relazione ai diversi obiettivi di apprendimento 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per raccogliere evidenze su una più ampia gamma di competenze trasversali.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Comunicare con chiarezza a studenti e studentesse fin dall’inizio sia gli obiettivi di apprendimento sia i criteri di valutazione delle prove di verifica che verranno somministr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Per l’infanzia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: esplicitare con chiarezza e con un linguaggio adeguato all’età di alunni ed alunne gli obiettivi delle attività proposte.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Informare studenti e studentesse e/o con loro condividere criteri, modalità e fasi della valutazione. Progettar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 con i/le discenti le fasi che scandiscono e concorrono a definire l’intero processo di valutazione; stimolarli/e affinché possano liberamente esprimere opinioni e fornire il proprio contributo. Attivare processi di valutazione tra pari.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Assicurare a 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tudenti e studentesse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feedback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formativi così da promuovere il miglioramento dei processi educativi e la crescita di ognuno/a.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Presentare a studenti e studentesse gli esiti della valutazione affinché tali esiti possano costituire stimolo, punto di riferimento e di riflessione sul loro processo formativo.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Rendere studenti e studentesse consapevoli dei loro progressi rispetto agli o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biettivi di apprendimento adottando opportune strategie che stimolino il pensiero critico in modo da capire le modalità per contestualizzare e superare l’errore ed evidenziando il raggiungimento degli eventuali obiettivi di apprendimento propri del livello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scolastico.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DBE5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9"/>
                <w:szCs w:val="9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</w:t>
            </w:r>
            <w:r>
              <w:rPr>
                <w:color w:val="17365D"/>
              </w:rPr>
              <w:t xml:space="preserve"> </w:t>
            </w: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minimo 4</w:t>
            </w: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Gestire relazioni e comportamenti in classe per favorire l’apprendimento in un clima disteso e collaborativo</w:t>
            </w: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8"/>
                <w:szCs w:val="8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Promuovere in studenti e studentesse l’apprendimento collaborativo e/o cooperativo.</w:t>
            </w: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Progettare e condurre attività di tipo collaborativo, iniziative che contemplino modelli di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peer to peer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, esperienze che prevedano lavori da svolgere in gruppo, ecc. avendo cura, al contempo, di individuare strumenti coerenti così da garantire adeguati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feedback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formativi e un’efficace valutazione.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Implementare attività di apprendimento autonomo e di studio autoregolato.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Presentare differenti modelli, strumenti ed esempi di organizzazione dello studio e/o dei compiti individuali.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Approfondire con studenti e studentesse strategie e tecniche individu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ali di apprendimento oltre a quelle attinenti </w:t>
            </w:r>
            <w:proofErr w:type="gram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il</w:t>
            </w:r>
            <w:proofErr w:type="gram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metodo di studio e l’organizzazione delle varie attività da svolgere e portare a compimento.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Individuare e condividere regole di comportamento e forme di comunicazione che tengano conto delle diversità e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facilitino il superamento di eventuali situazioni problematiche.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Condividere regole di comportamento comuni, affrontare con efficacia eventuali episodi problematici. Definire regole e rituali che riguardano l’organizzazione e l’uso degli spazi d’aula e d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egli spazi comuni, la gestione dei tempi e dei comportamenti nella scuola e al suo esterno.</w:t>
            </w: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Sostenere l’autostima di ogni studente e studentessa e favorirne (anche quando membro di un gruppo) la percezione di autoefficacia valorizzando il suo contributo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 l’impegno profuso.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Riconoscere il contributo di ogni studente e studentessa, sia esso frutto di un lavoro individuale o di un’attività realizzata in gruppo. Valorizzare l’impegno profuso da ciascuno/a discente, indipendentemente dall’esito finale dell’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attività svolta.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9781" w:type="dxa"/>
            <w:gridSpan w:val="2"/>
            <w:tcBorders>
              <w:bottom w:val="single" w:sz="12" w:space="0" w:color="BFBFBF"/>
            </w:tcBorders>
            <w:shd w:val="clear" w:color="auto" w:fill="8DB3E2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b/>
                <w:color w:val="404040"/>
              </w:rPr>
            </w:pPr>
            <w:r>
              <w:rPr>
                <w:rFonts w:ascii="Titillium Web" w:eastAsia="Titillium Web" w:hAnsi="Titillium Web" w:cs="Titillium Web"/>
                <w:b/>
                <w:color w:val="404040"/>
              </w:rPr>
              <w:t>B - ISTITUZIONE-COMUNITÀ</w:t>
            </w: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  <w:t>Area delle competenze relative alla partecipazione alla vita della scuola e del contesto sociale</w:t>
            </w: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b/>
                <w:i/>
                <w:sz w:val="8"/>
                <w:szCs w:val="8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C6D9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404040"/>
                <w:sz w:val="8"/>
                <w:szCs w:val="8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</w:t>
            </w:r>
            <w:r>
              <w:rPr>
                <w:color w:val="17365D"/>
              </w:rPr>
              <w:t xml:space="preserve"> </w:t>
            </w: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minimo 5</w:t>
            </w:r>
          </w:p>
          <w:p w:rsidR="003F43DC" w:rsidRDefault="005A0EA0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Partecipare attivamente all’esperienza professionale organizzata a scuola, comprendendo e applicando funzioni e modalità della valutazione interna ed esterna degli apprendimenti formali, non formali e informali</w:t>
            </w:r>
          </w:p>
          <w:p w:rsidR="003F43DC" w:rsidRDefault="003F43DC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lastRenderedPageBreak/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color w:val="FF0000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Conoscere il funzionamento dell’organizzazione della scuola e il contesto socioculturale ed economico in cui essa agisce.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color w:val="FF0000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Conoscere e utilizzare i documenti programmatici della scuola (ad es. PTOF,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PdM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, RAV, 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cc.) e/o candidarsi alla revisione e/o stesura dei relativi contenuti.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Conoscere le linee guida/indicazioni nazionali e la correlazione con i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saperi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disciplinari e l’eventuale curricolo di Istituto, con riferimento agli obiettivi di apprendimento, ai tragu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ardi di competenza ovvero ai risultati di apprendimento previsti dagli ordinamenti didattici vigenti.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color w:val="FF0000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Partecipare alla realizzazione delle iniziative educative deliberate e organizzate dalla scuola e/o proporne di nuove.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color w:val="FF0000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Elaborare e negoziare un progetto educativo di gruppo, costruendo prospettive condivise sui problemi della comunità scolastica e/o su attività di interesse riguardanti la peculiarità del territorio e/o fatti di stretta attualità.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Partecipare attivamente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all’organizzazione e alla gestione della scuola, lavorando in sinergia con il/la Dirigente e in collaborazione con il personale scolastico.</w:t>
            </w:r>
          </w:p>
          <w:p w:rsidR="003F43DC" w:rsidRDefault="003F43DC">
            <w:pPr>
              <w:ind w:firstLine="70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Accettare incarichi di responsabilità riferibili a specifiche aree d’intervento e determinanti per favorire a liv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ello progettuale e organizzativo l’attuazione di ciò che la scuola considera obiettivi dichiarati come da raggiungere nel PTOF di Istituto (ad es. funzione strumentale, docente tutor e orientatore, referente dell’Educazione civica, animatore digitale, refe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rente per i PCTO, ecc.).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Supportare e sostenere iniziative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extradidattiche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promosse dalla scuola. Svolgere attività di orientamento,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tutoring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mentoring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insieme ai/alle colleghi/e.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Per l‘infanzia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: favorire la parte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cipazione di bambini e bambine alle attività scolastiche legate alle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routine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quotidiane, tenendo conto dell’età, delle inclinazioni di ognuno/a oltreché del contesto socioculturale e territoriale in cui la scuola agisce.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tabs>
                <w:tab w:val="left" w:pos="490"/>
              </w:tabs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tabs>
                <w:tab w:val="left" w:pos="490"/>
              </w:tabs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Progettare e coordinare eventi ch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e prevedano la partecipazione e/o la diretta gestione di studenti e studentesse (ad es. mostre, spettacoli, incontri con la cittadinanza e/o con esperti/e, autogestione, ecc.). </w:t>
            </w:r>
          </w:p>
          <w:p w:rsidR="003F43DC" w:rsidRDefault="005A0EA0">
            <w:pPr>
              <w:tabs>
                <w:tab w:val="left" w:pos="490"/>
              </w:tabs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Favorire e sostenere l’assunzione di responsabilità da parte di studenti e studentesse (ad es. riorganizzazione degli spazi interni/esterni della scuola, gestione della raccolta differenziata dei rifiuti, ecc.).</w:t>
            </w:r>
          </w:p>
          <w:p w:rsidR="003F43DC" w:rsidRDefault="003F43DC">
            <w:pPr>
              <w:tabs>
                <w:tab w:val="left" w:pos="490"/>
              </w:tabs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tabs>
                <w:tab w:val="left" w:pos="490"/>
              </w:tabs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tabs>
                <w:tab w:val="left" w:pos="490"/>
              </w:tabs>
              <w:spacing w:line="216" w:lineRule="auto"/>
              <w:rPr>
                <w:rFonts w:ascii="Titillium Web" w:eastAsia="Titillium Web" w:hAnsi="Titillium Web" w:cs="Titillium Web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C6D9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6</w:t>
            </w:r>
          </w:p>
          <w:p w:rsidR="003F43DC" w:rsidRDefault="005A0EA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Lavorare in modo collaborativo con la comunità professionale della scuola</w:t>
            </w: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404040"/>
                <w:sz w:val="8"/>
                <w:szCs w:val="8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Collaborare alla creazione di gruppi di lavoro tra docenti e/o prendervi attivamente parte.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Confrontarsi con i/le colleghi/e nel corso di incontri, appositamente calendarizzati, dedicati all’analisi di specifiche tematiche o allo sviluppo di iniziative in programma.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Organizzare, pianificare e preparare riunioni individuando/proponendo obiettivi chiari e ben circoscritti che si intende raggiungere in un tempo dato. Elaborare sintesi e/o proposte.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Coinvolgere in modo attivo altre figure presenti nella comunità educan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te.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Avere la capacità di coinvolgere tutte le figure professionali nella formazione di studenti e studentesse, progettando didatticamente con flessibilità per gruppi-classe/interclasse, favorendo la personalizzazione e la valorizzazione dei talenti, lo 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viluppo di competenze trasversali e di apprendimenti significativi per tutti/e, collaborando con l’insegnante di sostegno e altre figure per il PEI e il PDP e adattando le tipologie di prove e dei criteri di valutazione del Collegio dei Docenti.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Condi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videre gli aspetti dei processi di insegnamento-apprendimento all’interno del team/Consiglio di Classe o del dipartimento anche in un’ottica di verticalità fra gli ordini di scuola.</w:t>
            </w:r>
          </w:p>
          <w:p w:rsidR="003F43DC" w:rsidRDefault="003F43DC">
            <w:pPr>
              <w:ind w:firstLine="708"/>
              <w:rPr>
                <w:rFonts w:ascii="Titillium Web" w:eastAsia="Titillium Web" w:hAnsi="Titillium Web" w:cs="Titillium Web"/>
                <w:sz w:val="16"/>
                <w:szCs w:val="16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Proporre ai/alle colleghi/e, e con loro condividere e sperimentare, metodologie didattiche innovative tramite specifiche azioni-pilota (anche trasversali alle discipline) volte a promuovere la crescita globale di ogni discente. Favorire lo scambio di buone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prassi e strategie sperimentate in aula.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C6D9F1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7</w:t>
            </w:r>
          </w:p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Instaurare rapporti positivi con i famigliari di studenti e studentesse e con i partner istituzionali e sociali</w:t>
            </w: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lastRenderedPageBreak/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Favorire la partecipazione dei famigliari di studenti e studentesse alla vita organizzativa della scuola.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Rispettare e far rispettare a studenti e studentesse e ai loro genitori (o a chi ne esercita la potestà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genitoriale) principi e doveri riportati nel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 xml:space="preserve">Patto di corresponsabilità educativa Scuola-Famiglia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approvati e sottoscritti a inizio anno scolastico.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Gestire i rapporti con le famiglie di studenti e studentesse, anche attraverso le funzionalità consentite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dai registri elettronici, con esperti/e esterni/e, agenzie educative e soggetti del territorio.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Progettare azioni che vedano il coinvolgimento diretto dei famigliari di studenti e studentesse.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Favorire e sostenere la condivisione di iniziative inerenti </w:t>
            </w:r>
            <w:proofErr w:type="gram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la</w:t>
            </w:r>
            <w:proofErr w:type="gram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vita organizzativa della scuola.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Comunicare ai famigliari di studenti e studentesse obiettivi didattici attesi/raggiunti, strategie di intervento ipotizzate/attuate, criteri di valutazione 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d esiti finali conseguiti.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Attivare modalità efficaci di comunicazione con i famigliari di studenti e studentesse. Condividere con i genitori (o a chi ne esercita la potestà genitoriale) la progettazione didattica e i risultati conseguiti da studenti e 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tudentesse. Esplicitare e condividere il percorso individuale di ogni discente.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Cooperare con altre figure professionali coinvolte a vario titolo nei processi di apprendimento e di sviluppo di studenti e studentesse.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Organizzare riunioni informative 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di aggiornamento in cui dibattere sui nodi (e gli snodi) educativi, sulle attività svolte dentro e fuori la scuola e sul suo assetto (ad es. organizzazione delle classi, dei tempi, degli spazi, della didattica).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Istituire collaborazioni con esperti/e disc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iplinari e del mondo del lavoro e/o con professionisti/e della salute per approfondire collegamenti curricolari o extracurricolari o tematiche riguardanti la salvaguardia della salute di studenti e studentesse (ad es. nutrizionista, pedagogista, psicologo,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psicomotricista, ecc.). 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Progettare e realizzare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Percorsi per le Competenze Trasversali e l’Orientamento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(per la secondaria di secondo grado).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</w:tc>
      </w:tr>
      <w:tr w:rsidR="003F43DC">
        <w:tc>
          <w:tcPr>
            <w:tcW w:w="3284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  <w:tcBorders>
              <w:bottom w:val="single" w:sz="12" w:space="0" w:color="BFBFBF"/>
            </w:tcBorders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Farsi promotore/promotrice di accordi volti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a contrastare le disuguaglianze nelle opportunità educative e la dispersione scolastica (ad es. alleanze educative, patti educativi territoriali), individuare i loro firmatari, curare la stesura degli accordi, sovrintendere e vigilare sull’osservanza degl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i impegni presi dalle parti. Partecipare attivamente, in qualità di proponente o promotore/promotrice, a partenariati con enti locali, imprese, associazioni, fondazioni, università, organizzazioni della società civile e del terzo settore per promuovere e s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ostenere il miglioramento del processo educativo.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</w:tc>
      </w:tr>
      <w:tr w:rsidR="003F43DC">
        <w:tc>
          <w:tcPr>
            <w:tcW w:w="9781" w:type="dxa"/>
            <w:gridSpan w:val="2"/>
            <w:tcBorders>
              <w:top w:val="nil"/>
              <w:bottom w:val="single" w:sz="12" w:space="0" w:color="BFBFBF"/>
            </w:tcBorders>
            <w:shd w:val="clear" w:color="auto" w:fill="95B3D7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hd w:val="clear" w:color="auto" w:fill="95B3D7"/>
              <w:jc w:val="center"/>
              <w:rPr>
                <w:rFonts w:ascii="Titillium Web" w:eastAsia="Titillium Web" w:hAnsi="Titillium Web" w:cs="Titillium Web"/>
                <w:b/>
                <w:color w:val="404040"/>
              </w:rPr>
            </w:pPr>
            <w:r>
              <w:rPr>
                <w:rFonts w:ascii="Titillium Web" w:eastAsia="Titillium Web" w:hAnsi="Titillium Web" w:cs="Titillium Web"/>
                <w:b/>
                <w:color w:val="404040"/>
              </w:rPr>
              <w:t>C - PROFESSIONE</w:t>
            </w:r>
          </w:p>
          <w:p w:rsidR="003F43DC" w:rsidRDefault="005A0EA0">
            <w:pPr>
              <w:shd w:val="clear" w:color="auto" w:fill="95B3D7"/>
              <w:jc w:val="center"/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i/>
                <w:color w:val="404040"/>
                <w:sz w:val="22"/>
                <w:szCs w:val="22"/>
              </w:rPr>
              <w:t>Area della formazione continua, della cura della professionalità e dello sviluppo di nuove responsabilità</w:t>
            </w: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b/>
                <w:i/>
                <w:sz w:val="8"/>
                <w:szCs w:val="8"/>
              </w:rPr>
            </w:pPr>
          </w:p>
        </w:tc>
      </w:tr>
      <w:tr w:rsidR="003F43DC">
        <w:tc>
          <w:tcPr>
            <w:tcW w:w="9781" w:type="dxa"/>
            <w:gridSpan w:val="2"/>
            <w:shd w:val="clear" w:color="auto" w:fill="B8CCE4"/>
          </w:tcPr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b/>
                <w:color w:val="404040"/>
                <w:sz w:val="8"/>
                <w:szCs w:val="8"/>
              </w:rPr>
            </w:pPr>
          </w:p>
          <w:p w:rsidR="003F43DC" w:rsidRDefault="005A0EA0">
            <w:pPr>
              <w:shd w:val="clear" w:color="auto" w:fill="B8CCE4"/>
              <w:jc w:val="center"/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b/>
                <w:color w:val="17365D"/>
                <w:sz w:val="22"/>
                <w:szCs w:val="22"/>
              </w:rPr>
              <w:t>Standard minimo 8</w:t>
            </w:r>
          </w:p>
          <w:p w:rsidR="003F43DC" w:rsidRDefault="005A0EA0">
            <w:pPr>
              <w:shd w:val="clear" w:color="auto" w:fill="B8CCE4"/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 xml:space="preserve">Impegnarsi nella formazione continua e nello sviluppo professionale, integrando i nuclei basilari dei </w:t>
            </w:r>
            <w:proofErr w:type="spellStart"/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saperi</w:t>
            </w:r>
            <w:proofErr w:type="spellEnd"/>
          </w:p>
          <w:p w:rsidR="003F43DC" w:rsidRDefault="005A0EA0">
            <w:pPr>
              <w:shd w:val="clear" w:color="auto" w:fill="B8CCE4"/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e della didattica specifici per i propri insegnamenti, con la capacità di progettare didatticamente e gestire</w:t>
            </w:r>
          </w:p>
          <w:p w:rsidR="003F43DC" w:rsidRDefault="005A0EA0">
            <w:pPr>
              <w:shd w:val="clear" w:color="auto" w:fill="B8CCE4"/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con flessibilità gruppi-classe/interc</w:t>
            </w: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lasse per la personalizzazione e valorizzazione dei talenti e lo sviluppo</w:t>
            </w:r>
          </w:p>
          <w:p w:rsidR="003F43DC" w:rsidRDefault="005A0EA0">
            <w:pPr>
              <w:shd w:val="clear" w:color="auto" w:fill="B8CCE4"/>
              <w:spacing w:line="192" w:lineRule="auto"/>
              <w:jc w:val="center"/>
              <w:rPr>
                <w:rFonts w:ascii="Titillium Web" w:eastAsia="Titillium Web" w:hAnsi="Titillium Web" w:cs="Titillium Web"/>
                <w:sz w:val="21"/>
                <w:szCs w:val="21"/>
              </w:rPr>
            </w:pPr>
            <w:r>
              <w:rPr>
                <w:rFonts w:ascii="Titillium Web" w:eastAsia="Titillium Web" w:hAnsi="Titillium Web" w:cs="Titillium Web"/>
                <w:sz w:val="21"/>
                <w:szCs w:val="21"/>
              </w:rPr>
              <w:t>di competenze trasversali e comunicative</w:t>
            </w:r>
          </w:p>
          <w:p w:rsidR="003F43DC" w:rsidRDefault="003F43DC">
            <w:pPr>
              <w:spacing w:line="192" w:lineRule="auto"/>
              <w:jc w:val="center"/>
              <w:rPr>
                <w:rFonts w:ascii="Titillium Web" w:eastAsia="Titillium Web" w:hAnsi="Titillium Web" w:cs="Titillium Web"/>
                <w:color w:val="404040"/>
                <w:sz w:val="8"/>
                <w:szCs w:val="8"/>
              </w:rPr>
            </w:pPr>
          </w:p>
          <w:p w:rsidR="003F43DC" w:rsidRDefault="003F43DC">
            <w:pPr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3F43DC">
        <w:tc>
          <w:tcPr>
            <w:tcW w:w="3284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  <w:i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Indicatori delle competenze professionali</w:t>
            </w:r>
          </w:p>
        </w:tc>
        <w:tc>
          <w:tcPr>
            <w:tcW w:w="6497" w:type="dxa"/>
          </w:tcPr>
          <w:p w:rsidR="003F43DC" w:rsidRDefault="005A0EA0">
            <w:pPr>
              <w:jc w:val="center"/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  <w:i/>
                <w:sz w:val="19"/>
                <w:szCs w:val="19"/>
              </w:rPr>
              <w:t>Spiegazione delle competenze professionali</w:t>
            </w: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9"/>
                <w:szCs w:val="9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Partecipare periodicamente ad attività di formazione e di aggiornamento.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:rsidR="003F43DC" w:rsidRDefault="005A0EA0">
            <w:pPr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Concorrere alla definizione delle attività di formazione in servizio (in coerenza con il PTOF di Istituto) e/o prendervi parte. Affinare la collaborazione nei/tra i dipartimenti o nei/tra i gruppi disciplinari di scuola. Seguire gli sviluppi della propria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disciplina partecipando ad attività e iniziative promosse da comunità scientifiche, associazioni disciplinari e professionali.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Utilizzare fonti culturali diverse per potenziare conoscenze e competenze di insegnamento.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Partecipare a conferenze, seminari, laboratori e gruppi di lavoro non necessariamente correlati all’insegnamento della propria disciplina. Leggere riviste specialistiche e/o periodici divulgativi di interesse generale.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Aderire ad associazioni, reti, movime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nti e comunità professionali.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Attivare collaborazioni professionalizzanti tra colleghi/e della propria scuola o di altre istituzioni educative nazionali ed internazionali.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Partecipare a gemellaggi, scambi e </w:t>
            </w:r>
            <w:proofErr w:type="spellStart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visiting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tra istituzioni scolastiche naziona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li e/o oltreconfine (ad es. Erasmus+,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eTwinning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Epale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) per implementare pratiche didattiche rivelatesi particolarmente efficaci in realtà educative differenti dalla propria. Partecipare ad azioni di </w:t>
            </w:r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 xml:space="preserve">job </w:t>
            </w:r>
            <w:proofErr w:type="spellStart"/>
            <w:r>
              <w:rPr>
                <w:rFonts w:ascii="Titillium Web" w:eastAsia="Titillium Web" w:hAnsi="Titillium Web" w:cs="Titillium Web"/>
                <w:i/>
                <w:sz w:val="17"/>
                <w:szCs w:val="17"/>
              </w:rPr>
              <w:t>shadowing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all’estero quali fonti di arricchimento pe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rsonale, professionale e culturale. Partecipare a iniziative patrocinate da associazioni, imprese ed enti italiani e stranieri.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Utilizzare le esperienze di crescita professionale per riprogettare l’azione didattica.</w:t>
            </w:r>
          </w:p>
          <w:p w:rsidR="003F43DC" w:rsidRDefault="003F43DC">
            <w:pPr>
              <w:ind w:firstLine="70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Adottare, rielaborare e mettere in pratica nell’azione educativa quotidiana strategie didattiche e approcci metodologici innovativi oggetto di studio e analisi personali in attività di formazione in servizio o in percorsi formativi extrascolastici per l’ag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giornamento professionale.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lastRenderedPageBreak/>
              <w:t xml:space="preserve">Approfondire la conoscenza di temi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transcurricolari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 complessi, attuali e dibattuti (ad es. intelligenza artificiale,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metaverso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, cambiamenti climatici, sostenibilità, ecc.) e su tali temi progettare e condividere con i/le colleghi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/e percorsi didattici anche multidisciplinari.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:rsidR="003F43DC" w:rsidRDefault="003F43DC">
            <w:pPr>
              <w:ind w:firstLine="70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Adottare e mettere in pratic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a nell’azione educativa quotidiana prassi didattiche e metodologie d’insegnamento-apprendimento frutto del lavoro di ricerca, indagine, analisi e consultazione di/tra équipe di studio costituite da esperti/e dell’innovazione della didattica, del curricolo 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nelle principali aree pluridisciplinari e degli sviluppi tecnologici in ambito educativo.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Mettere in pratica nell’azione educativa quotidiana prassi didattiche e metodologie d’insegnamento-apprendimento frutto della propria attività di studio e del bagagli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 xml:space="preserve">o di conoscenze e competenze acquisite ‘sul </w:t>
            </w:r>
            <w:proofErr w:type="spellStart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campo’</w:t>
            </w:r>
            <w:proofErr w:type="spellEnd"/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  <w:tr w:rsidR="003F43DC">
        <w:tc>
          <w:tcPr>
            <w:tcW w:w="3284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Monitorare con metodicità il proprio sviluppo professionale in un’ottica di formazione continua.</w:t>
            </w:r>
          </w:p>
          <w:p w:rsidR="003F43DC" w:rsidRDefault="003F43DC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  <w:tc>
          <w:tcPr>
            <w:tcW w:w="6497" w:type="dxa"/>
          </w:tcPr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Riflettere sulla consapevolezza di sé come identità professionale e di quest’ultima individuare gli elementi distintivi che avvalorano tale consapevolezza.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Definire gli obiettivi di sviluppo professionale ed elaborare un proprio progetto di crescita person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ale.</w:t>
            </w:r>
          </w:p>
          <w:p w:rsidR="003F43DC" w:rsidRDefault="005A0EA0">
            <w:pPr>
              <w:spacing w:line="216" w:lineRule="auto"/>
              <w:rPr>
                <w:rFonts w:ascii="Titillium Web" w:eastAsia="Titillium Web" w:hAnsi="Titillium Web" w:cs="Titillium Web"/>
                <w:sz w:val="17"/>
                <w:szCs w:val="17"/>
              </w:rPr>
            </w:pP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Analizzare periodicamente le esperienze via via maturate e aggiornare con regolarità il bilancio delle competenze personali per verificare se esistano margini di miglioramento o se è necessario individuare nuovi percorsi di sviluppo e quindi progettar</w:t>
            </w:r>
            <w:r>
              <w:rPr>
                <w:rFonts w:ascii="Titillium Web" w:eastAsia="Titillium Web" w:hAnsi="Titillium Web" w:cs="Titillium Web"/>
                <w:sz w:val="17"/>
                <w:szCs w:val="17"/>
              </w:rPr>
              <w:t>e o riprogettare il proprio percorso professionale.</w:t>
            </w:r>
          </w:p>
          <w:p w:rsidR="003F43DC" w:rsidRDefault="003F43DC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</w:tc>
      </w:tr>
    </w:tbl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p w:rsidR="003F43DC" w:rsidRDefault="003F43DC"/>
    <w:sectPr w:rsidR="003F43DC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92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EA0" w:rsidRDefault="005A0EA0">
      <w:r>
        <w:separator/>
      </w:r>
    </w:p>
  </w:endnote>
  <w:endnote w:type="continuationSeparator" w:id="0">
    <w:p w:rsidR="005A0EA0" w:rsidRDefault="005A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3DC" w:rsidRDefault="005A0E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772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-167184</wp:posOffset>
          </wp:positionV>
          <wp:extent cx="6538606" cy="922836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38606" cy="9228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3DC" w:rsidRDefault="005A0E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75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-175894</wp:posOffset>
          </wp:positionV>
          <wp:extent cx="6116320" cy="86423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EA0" w:rsidRDefault="005A0EA0">
      <w:r>
        <w:separator/>
      </w:r>
    </w:p>
  </w:footnote>
  <w:footnote w:type="continuationSeparator" w:id="0">
    <w:p w:rsidR="005A0EA0" w:rsidRDefault="005A0EA0">
      <w:r>
        <w:continuationSeparator/>
      </w:r>
    </w:p>
  </w:footnote>
  <w:footnote w:id="1">
    <w:p w:rsidR="003F43DC" w:rsidRDefault="005A0EA0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149"/>
        <w:jc w:val="both"/>
        <w:rPr>
          <w:rFonts w:ascii="Titillium Web" w:eastAsia="Titillium Web" w:hAnsi="Titillium Web" w:cs="Titillium Web"/>
          <w:color w:val="000000"/>
          <w:sz w:val="15"/>
          <w:szCs w:val="15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Si definiscono “mediatori didattici” tutti quegli oggetti – reali o simbolici – catalizzatori del processo educativo; lo rendono più efficiente in quanto potenziano la comunicazione (verbale e non verbale) tra docenti e studenti e studentesse grazie alla l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oro duttilità e adattabilità ai diversi stili educativi di questi/e ultimi/e. I mediatori didattici si dividono in:</w:t>
      </w:r>
    </w:p>
    <w:p w:rsidR="003F43DC" w:rsidRDefault="005A0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149" w:hanging="294"/>
        <w:jc w:val="both"/>
        <w:rPr>
          <w:rFonts w:ascii="Titillium Web" w:eastAsia="Titillium Web" w:hAnsi="Titillium Web" w:cs="Titillium Web"/>
          <w:color w:val="000000"/>
          <w:sz w:val="15"/>
          <w:szCs w:val="15"/>
        </w:rPr>
      </w:pPr>
      <w:r>
        <w:rPr>
          <w:rFonts w:ascii="Titillium Web" w:eastAsia="Titillium Web" w:hAnsi="Titillium Web" w:cs="Titillium Web"/>
          <w:i/>
          <w:color w:val="000000"/>
          <w:sz w:val="15"/>
          <w:szCs w:val="15"/>
        </w:rPr>
        <w:t>attivi/empirici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: che ricorrono all’esperienza diretta (ad es. l’esperimento scientifico, le prove concrete: orto, ecc.);</w:t>
      </w:r>
    </w:p>
    <w:p w:rsidR="003F43DC" w:rsidRDefault="005A0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149" w:hanging="294"/>
        <w:jc w:val="both"/>
        <w:rPr>
          <w:rFonts w:ascii="Titillium Web" w:eastAsia="Titillium Web" w:hAnsi="Titillium Web" w:cs="Titillium Web"/>
          <w:color w:val="000000"/>
          <w:sz w:val="15"/>
          <w:szCs w:val="15"/>
        </w:rPr>
      </w:pPr>
      <w:r>
        <w:rPr>
          <w:rFonts w:ascii="Titillium Web" w:eastAsia="Titillium Web" w:hAnsi="Titillium Web" w:cs="Titillium Web"/>
          <w:i/>
          <w:color w:val="000000"/>
          <w:sz w:val="15"/>
          <w:szCs w:val="15"/>
        </w:rPr>
        <w:t>iconici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: che utiliz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zano il linguaggio delle icone (grafico e spaziale), fatto di immagini, schemi, mappe concettuali (ad es. l’utilizzo immagini evocative o esemplificative, le mappe e gli schemi, i filmati, le carte geografiche, i modellini e i plastici, ecc.);</w:t>
      </w:r>
    </w:p>
    <w:p w:rsidR="003F43DC" w:rsidRDefault="005A0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149" w:hanging="294"/>
        <w:jc w:val="both"/>
        <w:rPr>
          <w:rFonts w:ascii="Titillium Web" w:eastAsia="Titillium Web" w:hAnsi="Titillium Web" w:cs="Titillium Web"/>
          <w:color w:val="000000"/>
          <w:sz w:val="15"/>
          <w:szCs w:val="15"/>
        </w:rPr>
      </w:pPr>
      <w:r>
        <w:rPr>
          <w:rFonts w:ascii="Titillium Web" w:eastAsia="Titillium Web" w:hAnsi="Titillium Web" w:cs="Titillium Web"/>
          <w:i/>
          <w:color w:val="000000"/>
          <w:sz w:val="15"/>
          <w:szCs w:val="15"/>
        </w:rPr>
        <w:t>analogici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: c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he potrebbero essere anche chiamati “ludici” poiché si basano sulle dinamiche del gioco e della simulazione (ad es. “ho predisposto esperienze di drammatizzazione, gruppi di lavoro, giochi di ruolo, ecc.);</w:t>
      </w:r>
    </w:p>
    <w:p w:rsidR="003F43DC" w:rsidRDefault="005A0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-149" w:hanging="294"/>
        <w:jc w:val="both"/>
        <w:rPr>
          <w:rFonts w:ascii="Titillium Web" w:eastAsia="Titillium Web" w:hAnsi="Titillium Web" w:cs="Titillium Web"/>
          <w:color w:val="000000"/>
          <w:sz w:val="15"/>
          <w:szCs w:val="15"/>
        </w:rPr>
      </w:pPr>
      <w:r>
        <w:rPr>
          <w:rFonts w:ascii="Titillium Web" w:eastAsia="Titillium Web" w:hAnsi="Titillium Web" w:cs="Titillium Web"/>
          <w:i/>
          <w:color w:val="000000"/>
          <w:sz w:val="15"/>
          <w:szCs w:val="15"/>
        </w:rPr>
        <w:t>simbolici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: che utilizzano codici di rappresentazio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ne convenzionali e universali come ad esempio i concetti astratti, le locuzioni linguistiche, le metafore, i simboli, le analogie, le allegorie e le figure retoriche in generale e così via (ad es. “uso un racconto per poi introdurre un concetto di apprendi</w:t>
      </w:r>
      <w:r>
        <w:rPr>
          <w:rFonts w:ascii="Titillium Web" w:eastAsia="Titillium Web" w:hAnsi="Titillium Web" w:cs="Titillium Web"/>
          <w:color w:val="000000"/>
          <w:sz w:val="15"/>
          <w:szCs w:val="15"/>
        </w:rPr>
        <w:t>mento”).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3DC" w:rsidRDefault="005A0E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88.1pt;height:788.1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3DC" w:rsidRDefault="005A0E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-137339</wp:posOffset>
          </wp:positionH>
          <wp:positionV relativeFrom="paragraph">
            <wp:posOffset>-449579</wp:posOffset>
          </wp:positionV>
          <wp:extent cx="6617970" cy="94742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3DC" w:rsidRDefault="005A0E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-257446</wp:posOffset>
          </wp:positionV>
          <wp:extent cx="6602942" cy="945334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02942" cy="9453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43A3C"/>
    <w:multiLevelType w:val="multilevel"/>
    <w:tmpl w:val="A5EA8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3DC"/>
    <w:rsid w:val="003F43DC"/>
    <w:rsid w:val="004E0E92"/>
    <w:rsid w:val="005A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E6882C8-7207-4726-BCC0-C895CFB5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Eyman</dc:creator>
  <cp:lastModifiedBy>Eyman</cp:lastModifiedBy>
  <cp:revision>2</cp:revision>
  <dcterms:created xsi:type="dcterms:W3CDTF">2024-11-08T12:03:00Z</dcterms:created>
  <dcterms:modified xsi:type="dcterms:W3CDTF">2024-11-08T12:03:00Z</dcterms:modified>
</cp:coreProperties>
</file>